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Fonts w:ascii="黑体" w:hAnsi="宋体" w:eastAsia="黑体" w:cs="宋体"/>
          <w:b/>
          <w:bCs/>
          <w:color w:val="2F2F2F"/>
          <w:kern w:val="0"/>
          <w:sz w:val="24"/>
        </w:rPr>
      </w:pPr>
      <w:bookmarkStart w:id="0" w:name="_GoBack"/>
      <w:bookmarkEnd w:id="0"/>
      <w:r>
        <w:rPr>
          <w:rFonts w:hint="eastAsia" w:ascii="黑体" w:hAnsi="宋体" w:eastAsia="黑体" w:cs="宋体"/>
          <w:b/>
          <w:bCs/>
          <w:color w:val="2F2F2F"/>
          <w:kern w:val="0"/>
          <w:sz w:val="24"/>
        </w:rPr>
        <w:t>信银理财个人理财业务客户权益须知</w:t>
      </w:r>
    </w:p>
    <w:p>
      <w:pPr>
        <w:widowControl/>
        <w:ind w:firstLine="480" w:firstLineChars="200"/>
        <w:jc w:val="left"/>
        <w:rPr>
          <w:rFonts w:ascii="楷体_GB2312" w:hAnsi="宋体" w:eastAsia="楷体_GB2312" w:cs="宋体"/>
          <w:bCs/>
          <w:color w:val="2F2F2F"/>
          <w:kern w:val="0"/>
          <w:sz w:val="24"/>
        </w:rPr>
      </w:pPr>
      <w:r>
        <w:rPr>
          <w:rFonts w:hint="eastAsia" w:ascii="楷体_GB2312" w:hAnsi="宋体" w:eastAsia="楷体_GB2312" w:cs="宋体"/>
          <w:bCs/>
          <w:color w:val="2F2F2F"/>
          <w:kern w:val="0"/>
          <w:sz w:val="24"/>
        </w:rPr>
        <w:t>尊敬的客户，您好：</w:t>
      </w:r>
    </w:p>
    <w:p>
      <w:pPr>
        <w:widowControl/>
        <w:ind w:firstLine="480" w:firstLineChars="200"/>
        <w:jc w:val="left"/>
        <w:rPr>
          <w:rFonts w:ascii="楷体_GB2312" w:hAnsi="宋体" w:eastAsia="楷体_GB2312" w:cs="宋体"/>
          <w:bCs/>
          <w:color w:val="2F2F2F"/>
          <w:kern w:val="0"/>
          <w:sz w:val="24"/>
        </w:rPr>
      </w:pPr>
      <w:r>
        <w:rPr>
          <w:rFonts w:hint="eastAsia" w:ascii="楷体_GB2312" w:hAnsi="宋体" w:eastAsia="楷体_GB2312" w:cs="宋体"/>
          <w:bCs/>
          <w:color w:val="2F2F2F"/>
          <w:kern w:val="0"/>
          <w:sz w:val="24"/>
        </w:rPr>
        <w:t>为便于您顺利在我公司办理理财业务，请仔细阅读以下客户权益内容，以选择适合的产品并维护自身权益。</w:t>
      </w:r>
    </w:p>
    <w:p>
      <w:pPr>
        <w:widowControl/>
        <w:ind w:firstLine="480" w:firstLineChars="200"/>
        <w:jc w:val="left"/>
        <w:rPr>
          <w:rFonts w:ascii="黑体" w:hAnsi="宋体" w:eastAsia="黑体" w:cs="宋体"/>
          <w:bCs/>
          <w:color w:val="2F2F2F"/>
          <w:kern w:val="0"/>
          <w:sz w:val="24"/>
        </w:rPr>
      </w:pPr>
      <w:r>
        <w:rPr>
          <w:rFonts w:hint="eastAsia" w:ascii="黑体" w:hAnsi="宋体" w:eastAsia="黑体" w:cs="宋体"/>
          <w:bCs/>
          <w:color w:val="2F2F2F"/>
          <w:kern w:val="0"/>
          <w:sz w:val="24"/>
        </w:rPr>
        <w:t>一、办理理财产品的流程</w:t>
      </w:r>
    </w:p>
    <w:p>
      <w:pPr>
        <w:widowControl/>
        <w:ind w:firstLine="480" w:firstLineChars="200"/>
        <w:jc w:val="left"/>
        <w:rPr>
          <w:rFonts w:ascii="楷体_GB2312" w:hAnsi="宋体" w:eastAsia="楷体_GB2312" w:cs="宋体"/>
          <w:bCs/>
          <w:color w:val="2F2F2F"/>
          <w:kern w:val="0"/>
          <w:sz w:val="24"/>
        </w:rPr>
      </w:pPr>
      <w:r>
        <w:rPr>
          <w:rFonts w:hint="eastAsia" w:ascii="楷体_GB2312" w:hAnsi="宋体" w:eastAsia="楷体_GB2312" w:cs="宋体"/>
          <w:bCs/>
          <w:color w:val="2F2F2F"/>
          <w:kern w:val="0"/>
          <w:sz w:val="24"/>
        </w:rPr>
        <w:t>您可以通过信银理财</w:t>
      </w:r>
      <w:r>
        <w:rPr>
          <w:rFonts w:ascii="楷体_GB2312" w:hAnsi="宋体" w:eastAsia="楷体_GB2312" w:cs="宋体"/>
          <w:bCs/>
          <w:color w:val="2F2F2F"/>
          <w:kern w:val="0"/>
          <w:sz w:val="24"/>
        </w:rPr>
        <w:t>营业场所</w:t>
      </w:r>
      <w:r>
        <w:rPr>
          <w:rFonts w:hint="eastAsia" w:ascii="楷体_GB2312" w:hAnsi="宋体" w:eastAsia="楷体_GB2312" w:cs="宋体"/>
          <w:bCs/>
          <w:color w:val="2F2F2F"/>
          <w:kern w:val="0"/>
          <w:sz w:val="24"/>
        </w:rPr>
        <w:t>、电子</w:t>
      </w:r>
      <w:r>
        <w:rPr>
          <w:rFonts w:ascii="楷体_GB2312" w:hAnsi="宋体" w:eastAsia="楷体_GB2312" w:cs="宋体"/>
          <w:bCs/>
          <w:color w:val="2F2F2F"/>
          <w:kern w:val="0"/>
          <w:sz w:val="24"/>
        </w:rPr>
        <w:t>渠道</w:t>
      </w:r>
      <w:r>
        <w:rPr>
          <w:rFonts w:hint="eastAsia" w:ascii="楷体_GB2312" w:hAnsi="宋体" w:eastAsia="楷体_GB2312" w:cs="宋体"/>
          <w:bCs/>
          <w:color w:val="2F2F2F"/>
          <w:kern w:val="0"/>
          <w:sz w:val="24"/>
        </w:rPr>
        <w:t>等方式购买</w:t>
      </w:r>
      <w:r>
        <w:rPr>
          <w:rFonts w:ascii="楷体_GB2312" w:hAnsi="宋体" w:eastAsia="楷体_GB2312" w:cs="宋体"/>
          <w:bCs/>
          <w:color w:val="2F2F2F"/>
          <w:kern w:val="0"/>
          <w:sz w:val="24"/>
        </w:rPr>
        <w:t>理财产品</w:t>
      </w:r>
      <w:r>
        <w:rPr>
          <w:rFonts w:hint="eastAsia" w:ascii="楷体_GB2312" w:hAnsi="宋体" w:eastAsia="楷体_GB2312" w:cs="宋体"/>
          <w:bCs/>
          <w:color w:val="2F2F2F"/>
          <w:kern w:val="0"/>
          <w:sz w:val="24"/>
        </w:rPr>
        <w:t>，其基本流程如下：</w:t>
      </w:r>
    </w:p>
    <w:p>
      <w:pPr>
        <w:widowControl/>
        <w:ind w:firstLine="420" w:firstLineChars="200"/>
        <w:jc w:val="left"/>
        <w:rPr>
          <w:rFonts w:ascii="楷体_GB2312" w:hAnsi="宋体" w:eastAsia="楷体_GB2312" w:cs="宋体"/>
          <w:bCs/>
          <w:color w:val="2F2F2F"/>
          <w:kern w:val="0"/>
          <w:sz w:val="24"/>
        </w:rPr>
      </w:pPr>
      <w:r>
        <w:rPr>
          <w:szCs w:val="21"/>
        </w:rPr>
        <w:drawing>
          <wp:inline distT="0" distB="0" distL="0" distR="0">
            <wp:extent cx="6263640" cy="518795"/>
            <wp:effectExtent l="0" t="0" r="381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6263640" cy="518795"/>
                    </a:xfrm>
                    <a:prstGeom prst="rect">
                      <a:avLst/>
                    </a:prstGeom>
                  </pic:spPr>
                </pic:pic>
              </a:graphicData>
            </a:graphic>
          </wp:inline>
        </w:drawing>
      </w:r>
    </w:p>
    <w:p>
      <w:pPr>
        <w:widowControl/>
        <w:ind w:firstLine="480" w:firstLineChars="200"/>
        <w:jc w:val="left"/>
        <w:rPr>
          <w:rFonts w:ascii="楷体_GB2312" w:hAnsi="宋体" w:eastAsia="楷体_GB2312" w:cs="宋体"/>
          <w:bCs/>
          <w:color w:val="2F2F2F"/>
          <w:kern w:val="0"/>
          <w:sz w:val="24"/>
        </w:rPr>
      </w:pPr>
      <w:r>
        <w:rPr>
          <w:rFonts w:hint="eastAsia" w:ascii="楷体_GB2312" w:hAnsi="宋体" w:eastAsia="楷体_GB2312" w:cs="宋体"/>
          <w:bCs/>
          <w:color w:val="2F2F2F"/>
          <w:kern w:val="0"/>
          <w:sz w:val="24"/>
        </w:rPr>
        <w:t>说明：详细操作流程请通过客户服务热线（950950）、营业场所咨询信银理财。</w:t>
      </w:r>
    </w:p>
    <w:p>
      <w:pPr>
        <w:widowControl/>
        <w:ind w:firstLine="482" w:firstLineChars="200"/>
        <w:jc w:val="left"/>
        <w:rPr>
          <w:rFonts w:ascii="楷体_GB2312" w:hAnsi="宋体" w:eastAsia="楷体_GB2312" w:cs="宋体"/>
          <w:b/>
          <w:bCs/>
          <w:color w:val="2F2F2F"/>
          <w:kern w:val="0"/>
          <w:sz w:val="24"/>
        </w:rPr>
      </w:pPr>
      <w:r>
        <w:rPr>
          <w:rFonts w:hint="eastAsia" w:ascii="楷体_GB2312" w:hAnsi="宋体" w:eastAsia="楷体_GB2312" w:cs="宋体"/>
          <w:b/>
          <w:bCs/>
          <w:color w:val="2F2F2F"/>
          <w:kern w:val="0"/>
          <w:sz w:val="24"/>
        </w:rPr>
        <w:t>特别提示：为防止您的权益受到侵害，在购买理财过程中请您务必保管好自己的银行卡/账户密码、网银U盾等，切勿泄露或交给销售人员等任何其他人保管等，否则责任自负。</w:t>
      </w:r>
    </w:p>
    <w:p>
      <w:pPr>
        <w:widowControl/>
        <w:ind w:firstLine="480" w:firstLineChars="200"/>
        <w:jc w:val="left"/>
        <w:rPr>
          <w:rFonts w:ascii="黑体" w:hAnsi="宋体" w:eastAsia="黑体" w:cs="宋体"/>
          <w:bCs/>
          <w:color w:val="2F2F2F"/>
          <w:kern w:val="0"/>
          <w:sz w:val="24"/>
        </w:rPr>
      </w:pPr>
      <w:r>
        <w:rPr>
          <w:rFonts w:hint="eastAsia" w:ascii="黑体" w:hAnsi="宋体" w:eastAsia="黑体" w:cs="宋体"/>
          <w:bCs/>
          <w:color w:val="2F2F2F"/>
          <w:kern w:val="0"/>
          <w:sz w:val="24"/>
        </w:rPr>
        <w:t>二、信银理财客户风险测评及产品风险评级介绍</w:t>
      </w:r>
    </w:p>
    <w:p>
      <w:pPr>
        <w:widowControl/>
        <w:ind w:firstLine="480" w:firstLineChars="200"/>
        <w:jc w:val="left"/>
        <w:rPr>
          <w:rFonts w:ascii="楷体_GB2312" w:hAnsi="宋体" w:eastAsia="楷体_GB2312" w:cs="宋体"/>
          <w:bCs/>
          <w:color w:val="2F2F2F"/>
          <w:kern w:val="0"/>
          <w:sz w:val="24"/>
        </w:rPr>
      </w:pPr>
      <w:r>
        <w:rPr>
          <w:rFonts w:hint="eastAsia" w:ascii="楷体_GB2312" w:hAnsi="宋体" w:eastAsia="楷体_GB2312" w:cs="宋体"/>
          <w:bCs/>
          <w:color w:val="2F2F2F"/>
          <w:kern w:val="0"/>
          <w:sz w:val="24"/>
        </w:rPr>
        <w:t>客户风险测评使用《信银理财客户风险评估问卷》，通过回答</w:t>
      </w:r>
      <w:r>
        <w:rPr>
          <w:rFonts w:ascii="楷体_GB2312" w:hAnsi="宋体" w:eastAsia="楷体_GB2312" w:cs="宋体"/>
          <w:bCs/>
          <w:color w:val="2F2F2F"/>
          <w:kern w:val="0"/>
          <w:sz w:val="24"/>
        </w:rPr>
        <w:t>问题得出风险测评结果。</w:t>
      </w:r>
    </w:p>
    <w:p>
      <w:pPr>
        <w:widowControl/>
        <w:ind w:firstLine="480" w:firstLineChars="200"/>
        <w:jc w:val="left"/>
        <w:rPr>
          <w:rFonts w:ascii="楷体_GB2312" w:hAnsi="宋体" w:eastAsia="楷体_GB2312" w:cs="宋体"/>
          <w:bCs/>
          <w:color w:val="2F2F2F"/>
          <w:kern w:val="0"/>
          <w:sz w:val="24"/>
        </w:rPr>
      </w:pPr>
      <w:r>
        <w:rPr>
          <w:rFonts w:hint="eastAsia" w:ascii="楷体_GB2312" w:hAnsi="宋体" w:eastAsia="楷体_GB2312" w:cs="宋体"/>
          <w:bCs/>
          <w:color w:val="2F2F2F"/>
          <w:kern w:val="0"/>
          <w:sz w:val="24"/>
        </w:rPr>
        <w:t>客户首次认购理财产品必须先进行风险测评，风险测评</w:t>
      </w:r>
      <w:r>
        <w:rPr>
          <w:rFonts w:ascii="楷体_GB2312" w:hAnsi="宋体" w:eastAsia="楷体_GB2312" w:cs="宋体"/>
          <w:bCs/>
          <w:color w:val="2F2F2F"/>
          <w:kern w:val="0"/>
          <w:sz w:val="24"/>
        </w:rPr>
        <w:t>结果</w:t>
      </w:r>
      <w:r>
        <w:rPr>
          <w:rFonts w:hint="eastAsia" w:ascii="楷体_GB2312" w:hAnsi="宋体" w:eastAsia="楷体_GB2312" w:cs="宋体"/>
          <w:bCs/>
          <w:color w:val="2F2F2F"/>
          <w:kern w:val="0"/>
          <w:sz w:val="24"/>
        </w:rPr>
        <w:t>有效期为</w:t>
      </w:r>
      <w:r>
        <w:rPr>
          <w:rFonts w:ascii="楷体_GB2312" w:hAnsi="宋体" w:eastAsia="楷体_GB2312" w:cs="宋体"/>
          <w:bCs/>
          <w:color w:val="2F2F2F"/>
          <w:kern w:val="0"/>
          <w:sz w:val="24"/>
        </w:rPr>
        <w:t>1年。如超过1年</w:t>
      </w:r>
      <w:r>
        <w:rPr>
          <w:rFonts w:hint="eastAsia" w:ascii="楷体_GB2312" w:hAnsi="宋体" w:eastAsia="楷体_GB2312" w:cs="宋体"/>
          <w:bCs/>
          <w:color w:val="2F2F2F"/>
          <w:kern w:val="0"/>
          <w:sz w:val="24"/>
        </w:rPr>
        <w:t>未再次进行风险测评或判断自身风险承受能力发生变化，应在我公司电子渠道或营业场所重新进行风险测评。</w:t>
      </w:r>
    </w:p>
    <w:p>
      <w:pPr>
        <w:spacing w:after="0" w:line="360" w:lineRule="auto"/>
        <w:ind w:firstLine="480" w:firstLineChars="200"/>
        <w:rPr>
          <w:rFonts w:ascii="楷体" w:hAnsi="楷体" w:eastAsia="楷体" w:cs="楷体"/>
          <w:color w:val="000000"/>
          <w:sz w:val="24"/>
          <w:szCs w:val="24"/>
        </w:rPr>
      </w:pPr>
      <w:r>
        <w:rPr>
          <w:rFonts w:hint="eastAsia" w:ascii="楷体" w:hAnsi="楷体" w:eastAsia="楷体" w:cs="楷体"/>
          <w:color w:val="000000"/>
          <w:sz w:val="24"/>
          <w:szCs w:val="24"/>
        </w:rPr>
        <w:t>信银理财理财产品风险评级具体含义及</w:t>
      </w:r>
      <w:r>
        <w:rPr>
          <w:rFonts w:ascii="楷体" w:hAnsi="楷体" w:eastAsia="楷体" w:cs="楷体"/>
          <w:color w:val="000000"/>
          <w:sz w:val="24"/>
          <w:szCs w:val="24"/>
        </w:rPr>
        <w:t>与投资者</w:t>
      </w:r>
      <w:r>
        <w:rPr>
          <w:rFonts w:hint="eastAsia" w:ascii="楷体" w:hAnsi="楷体" w:eastAsia="楷体" w:cs="楷体"/>
          <w:color w:val="000000"/>
          <w:sz w:val="24"/>
          <w:szCs w:val="24"/>
        </w:rPr>
        <w:t>类型</w:t>
      </w:r>
      <w:r>
        <w:rPr>
          <w:rFonts w:ascii="楷体" w:hAnsi="楷体" w:eastAsia="楷体" w:cs="楷体"/>
          <w:color w:val="000000"/>
          <w:sz w:val="24"/>
          <w:szCs w:val="24"/>
        </w:rPr>
        <w:t>对应关系</w:t>
      </w:r>
    </w:p>
    <w:tbl>
      <w:tblPr>
        <w:tblStyle w:val="4"/>
        <w:tblW w:w="935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55"/>
        <w:gridCol w:w="3578"/>
        <w:gridCol w:w="46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1155" w:type="dxa"/>
          </w:tcPr>
          <w:p>
            <w:pPr>
              <w:adjustRightInd w:val="0"/>
              <w:spacing w:after="0" w:line="240" w:lineRule="auto"/>
              <w:jc w:val="center"/>
              <w:textAlignment w:val="baseline"/>
              <w:outlineLvl w:val="0"/>
              <w:rPr>
                <w:rFonts w:ascii="楷体" w:hAnsi="楷体" w:eastAsia="楷体" w:cs="楷体"/>
                <w:b/>
                <w:color w:val="000000"/>
                <w:sz w:val="24"/>
                <w:szCs w:val="24"/>
              </w:rPr>
            </w:pPr>
            <w:r>
              <w:rPr>
                <w:rFonts w:hint="eastAsia" w:ascii="楷体" w:hAnsi="楷体" w:eastAsia="楷体" w:cs="楷体"/>
                <w:b/>
                <w:color w:val="000000"/>
                <w:sz w:val="24"/>
                <w:szCs w:val="24"/>
              </w:rPr>
              <w:t>产品</w:t>
            </w:r>
            <w:r>
              <w:rPr>
                <w:rFonts w:ascii="楷体" w:hAnsi="楷体" w:eastAsia="楷体" w:cs="楷体"/>
                <w:b/>
                <w:color w:val="000000"/>
                <w:sz w:val="24"/>
                <w:szCs w:val="24"/>
              </w:rPr>
              <w:t>风险评级</w:t>
            </w:r>
          </w:p>
        </w:tc>
        <w:tc>
          <w:tcPr>
            <w:tcW w:w="3578" w:type="dxa"/>
          </w:tcPr>
          <w:p>
            <w:pPr>
              <w:adjustRightInd w:val="0"/>
              <w:spacing w:after="0" w:line="240" w:lineRule="auto"/>
              <w:jc w:val="center"/>
              <w:textAlignment w:val="baseline"/>
              <w:outlineLvl w:val="0"/>
              <w:rPr>
                <w:rFonts w:ascii="楷体" w:hAnsi="楷体" w:eastAsia="楷体" w:cs="楷体"/>
                <w:b/>
                <w:color w:val="000000"/>
                <w:sz w:val="24"/>
                <w:szCs w:val="24"/>
              </w:rPr>
            </w:pPr>
            <w:r>
              <w:rPr>
                <w:rFonts w:ascii="楷体" w:hAnsi="楷体" w:eastAsia="楷体" w:cs="楷体"/>
                <w:b/>
                <w:color w:val="000000"/>
                <w:sz w:val="24"/>
                <w:szCs w:val="24"/>
              </w:rPr>
              <w:t>风险程度</w:t>
            </w:r>
          </w:p>
        </w:tc>
        <w:tc>
          <w:tcPr>
            <w:tcW w:w="4618" w:type="dxa"/>
            <w:vAlign w:val="center"/>
          </w:tcPr>
          <w:p>
            <w:pPr>
              <w:adjustRightInd w:val="0"/>
              <w:spacing w:after="0" w:line="240" w:lineRule="auto"/>
              <w:jc w:val="center"/>
              <w:textAlignment w:val="baseline"/>
              <w:outlineLvl w:val="0"/>
              <w:rPr>
                <w:rFonts w:ascii="楷体" w:hAnsi="楷体" w:eastAsia="楷体" w:cs="楷体"/>
                <w:b/>
                <w:color w:val="000000"/>
                <w:sz w:val="24"/>
                <w:szCs w:val="24"/>
              </w:rPr>
            </w:pPr>
            <w:r>
              <w:rPr>
                <w:rFonts w:hint="eastAsia" w:ascii="楷体" w:hAnsi="楷体" w:eastAsia="楷体" w:cs="楷体"/>
                <w:b/>
                <w:color w:val="000000"/>
                <w:sz w:val="24"/>
                <w:szCs w:val="24"/>
              </w:rPr>
              <w:t>适合投资者类型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155" w:type="dxa"/>
          </w:tcPr>
          <w:p>
            <w:pPr>
              <w:adjustRightInd w:val="0"/>
              <w:spacing w:after="0" w:line="240" w:lineRule="auto"/>
              <w:jc w:val="center"/>
              <w:textAlignment w:val="baseline"/>
              <w:outlineLvl w:val="0"/>
              <w:rPr>
                <w:rFonts w:ascii="楷体" w:hAnsi="楷体" w:eastAsia="楷体" w:cs="楷体"/>
                <w:color w:val="000000"/>
                <w:szCs w:val="21"/>
              </w:rPr>
            </w:pPr>
            <w:r>
              <w:rPr>
                <w:rFonts w:ascii="楷体" w:hAnsi="楷体" w:eastAsia="楷体" w:cs="楷体"/>
                <w:color w:val="000000"/>
                <w:szCs w:val="21"/>
              </w:rPr>
              <w:t>PR1级</w:t>
            </w:r>
          </w:p>
        </w:tc>
        <w:tc>
          <w:tcPr>
            <w:tcW w:w="3578" w:type="dxa"/>
          </w:tcPr>
          <w:p>
            <w:pPr>
              <w:adjustRightInd w:val="0"/>
              <w:spacing w:after="0" w:line="240" w:lineRule="auto"/>
              <w:jc w:val="center"/>
              <w:textAlignment w:val="baseline"/>
              <w:outlineLvl w:val="0"/>
              <w:rPr>
                <w:rFonts w:ascii="楷体" w:hAnsi="楷体" w:eastAsia="楷体" w:cs="楷体"/>
                <w:color w:val="000000"/>
                <w:szCs w:val="21"/>
              </w:rPr>
            </w:pPr>
            <w:r>
              <w:rPr>
                <w:rFonts w:ascii="楷体" w:hAnsi="楷体" w:eastAsia="楷体" w:cs="楷体"/>
                <w:color w:val="000000"/>
                <w:szCs w:val="21"/>
              </w:rPr>
              <w:t>低</w:t>
            </w:r>
          </w:p>
        </w:tc>
        <w:tc>
          <w:tcPr>
            <w:tcW w:w="4618" w:type="dxa"/>
            <w:vAlign w:val="center"/>
          </w:tcPr>
          <w:p>
            <w:pPr>
              <w:adjustRightInd w:val="0"/>
              <w:spacing w:after="0" w:line="240" w:lineRule="auto"/>
              <w:jc w:val="center"/>
              <w:textAlignment w:val="baseline"/>
              <w:outlineLvl w:val="0"/>
              <w:rPr>
                <w:rFonts w:ascii="楷体" w:hAnsi="楷体" w:eastAsia="楷体" w:cs="楷体"/>
                <w:color w:val="000000"/>
                <w:szCs w:val="21"/>
              </w:rPr>
            </w:pPr>
            <w:r>
              <w:rPr>
                <w:rFonts w:hint="eastAsia" w:ascii="楷体" w:hAnsi="楷体" w:eastAsia="楷体" w:cs="楷体"/>
                <w:color w:val="000000"/>
                <w:szCs w:val="21"/>
              </w:rPr>
              <w:t>谨慎型、稳健型、平衡型、进取型、激进型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1155" w:type="dxa"/>
          </w:tcPr>
          <w:p>
            <w:pPr>
              <w:adjustRightInd w:val="0"/>
              <w:spacing w:after="0" w:line="240" w:lineRule="auto"/>
              <w:jc w:val="center"/>
              <w:textAlignment w:val="baseline"/>
              <w:outlineLvl w:val="0"/>
              <w:rPr>
                <w:rFonts w:ascii="楷体" w:hAnsi="楷体" w:eastAsia="楷体" w:cs="楷体"/>
                <w:color w:val="000000"/>
                <w:szCs w:val="21"/>
              </w:rPr>
            </w:pPr>
            <w:r>
              <w:rPr>
                <w:rFonts w:ascii="楷体" w:hAnsi="楷体" w:eastAsia="楷体" w:cs="楷体"/>
                <w:color w:val="000000"/>
                <w:szCs w:val="21"/>
              </w:rPr>
              <w:t>PR2级</w:t>
            </w:r>
          </w:p>
        </w:tc>
        <w:tc>
          <w:tcPr>
            <w:tcW w:w="3578" w:type="dxa"/>
          </w:tcPr>
          <w:p>
            <w:pPr>
              <w:adjustRightInd w:val="0"/>
              <w:spacing w:after="0" w:line="240" w:lineRule="auto"/>
              <w:jc w:val="center"/>
              <w:textAlignment w:val="baseline"/>
              <w:outlineLvl w:val="0"/>
              <w:rPr>
                <w:rFonts w:ascii="楷体" w:hAnsi="楷体" w:eastAsia="楷体" w:cs="楷体"/>
                <w:color w:val="000000"/>
                <w:szCs w:val="21"/>
              </w:rPr>
            </w:pPr>
            <w:r>
              <w:rPr>
                <w:rFonts w:ascii="楷体" w:hAnsi="楷体" w:eastAsia="楷体" w:cs="楷体"/>
                <w:color w:val="000000"/>
                <w:szCs w:val="21"/>
              </w:rPr>
              <w:t>中低</w:t>
            </w:r>
          </w:p>
        </w:tc>
        <w:tc>
          <w:tcPr>
            <w:tcW w:w="4618" w:type="dxa"/>
            <w:vAlign w:val="center"/>
          </w:tcPr>
          <w:p>
            <w:pPr>
              <w:adjustRightInd w:val="0"/>
              <w:spacing w:after="0" w:line="240" w:lineRule="auto"/>
              <w:jc w:val="center"/>
              <w:textAlignment w:val="baseline"/>
              <w:outlineLvl w:val="0"/>
              <w:rPr>
                <w:rFonts w:ascii="楷体" w:hAnsi="楷体" w:eastAsia="楷体" w:cs="楷体"/>
                <w:color w:val="000000"/>
                <w:szCs w:val="21"/>
              </w:rPr>
            </w:pPr>
            <w:r>
              <w:rPr>
                <w:rFonts w:hint="eastAsia" w:ascii="楷体" w:hAnsi="楷体" w:eastAsia="楷体" w:cs="楷体"/>
                <w:color w:val="000000"/>
                <w:szCs w:val="21"/>
              </w:rPr>
              <w:t>稳健型、平衡型、进取型、激进型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1155" w:type="dxa"/>
          </w:tcPr>
          <w:p>
            <w:pPr>
              <w:adjustRightInd w:val="0"/>
              <w:spacing w:after="0" w:line="240" w:lineRule="auto"/>
              <w:jc w:val="center"/>
              <w:textAlignment w:val="baseline"/>
              <w:outlineLvl w:val="0"/>
              <w:rPr>
                <w:rFonts w:ascii="楷体" w:hAnsi="楷体" w:eastAsia="楷体" w:cs="楷体"/>
                <w:color w:val="000000"/>
                <w:szCs w:val="21"/>
              </w:rPr>
            </w:pPr>
            <w:r>
              <w:rPr>
                <w:rFonts w:ascii="楷体" w:hAnsi="楷体" w:eastAsia="楷体" w:cs="楷体"/>
                <w:color w:val="000000"/>
                <w:szCs w:val="21"/>
              </w:rPr>
              <w:t>PR3级</w:t>
            </w:r>
          </w:p>
        </w:tc>
        <w:tc>
          <w:tcPr>
            <w:tcW w:w="3578" w:type="dxa"/>
          </w:tcPr>
          <w:p>
            <w:pPr>
              <w:adjustRightInd w:val="0"/>
              <w:spacing w:after="0" w:line="240" w:lineRule="auto"/>
              <w:jc w:val="center"/>
              <w:textAlignment w:val="baseline"/>
              <w:outlineLvl w:val="0"/>
              <w:rPr>
                <w:rFonts w:ascii="楷体" w:hAnsi="楷体" w:eastAsia="楷体" w:cs="楷体"/>
                <w:color w:val="000000"/>
                <w:szCs w:val="21"/>
              </w:rPr>
            </w:pPr>
            <w:r>
              <w:rPr>
                <w:rFonts w:hint="eastAsia" w:ascii="楷体" w:hAnsi="楷体" w:eastAsia="楷体" w:cs="楷体"/>
                <w:color w:val="000000"/>
                <w:szCs w:val="21"/>
              </w:rPr>
              <w:t>中等</w:t>
            </w:r>
          </w:p>
        </w:tc>
        <w:tc>
          <w:tcPr>
            <w:tcW w:w="4618" w:type="dxa"/>
            <w:vAlign w:val="center"/>
          </w:tcPr>
          <w:p>
            <w:pPr>
              <w:adjustRightInd w:val="0"/>
              <w:spacing w:after="0" w:line="240" w:lineRule="auto"/>
              <w:jc w:val="center"/>
              <w:textAlignment w:val="baseline"/>
              <w:outlineLvl w:val="0"/>
              <w:rPr>
                <w:rFonts w:ascii="楷体" w:hAnsi="楷体" w:eastAsia="楷体" w:cs="楷体"/>
                <w:color w:val="000000"/>
                <w:szCs w:val="21"/>
              </w:rPr>
            </w:pPr>
            <w:r>
              <w:rPr>
                <w:rFonts w:hint="eastAsia" w:ascii="楷体" w:hAnsi="楷体" w:eastAsia="楷体" w:cs="楷体"/>
                <w:color w:val="000000"/>
                <w:szCs w:val="21"/>
              </w:rPr>
              <w:t>平衡型、进取型、激进型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1155" w:type="dxa"/>
          </w:tcPr>
          <w:p>
            <w:pPr>
              <w:adjustRightInd w:val="0"/>
              <w:spacing w:after="0" w:line="240" w:lineRule="auto"/>
              <w:jc w:val="center"/>
              <w:textAlignment w:val="baseline"/>
              <w:outlineLvl w:val="0"/>
              <w:rPr>
                <w:rFonts w:ascii="楷体" w:hAnsi="楷体" w:eastAsia="楷体" w:cs="楷体"/>
                <w:color w:val="000000"/>
                <w:szCs w:val="21"/>
              </w:rPr>
            </w:pPr>
            <w:r>
              <w:rPr>
                <w:rFonts w:ascii="楷体" w:hAnsi="楷体" w:eastAsia="楷体" w:cs="楷体"/>
                <w:color w:val="000000"/>
                <w:szCs w:val="21"/>
              </w:rPr>
              <w:t>PR4级</w:t>
            </w:r>
          </w:p>
        </w:tc>
        <w:tc>
          <w:tcPr>
            <w:tcW w:w="3578" w:type="dxa"/>
          </w:tcPr>
          <w:p>
            <w:pPr>
              <w:adjustRightInd w:val="0"/>
              <w:spacing w:after="0" w:line="240" w:lineRule="auto"/>
              <w:jc w:val="center"/>
              <w:textAlignment w:val="baseline"/>
              <w:outlineLvl w:val="0"/>
              <w:rPr>
                <w:rFonts w:ascii="楷体" w:hAnsi="楷体" w:eastAsia="楷体" w:cs="楷体"/>
                <w:color w:val="000000"/>
                <w:szCs w:val="21"/>
              </w:rPr>
            </w:pPr>
            <w:r>
              <w:rPr>
                <w:rFonts w:hint="eastAsia" w:ascii="楷体" w:hAnsi="楷体" w:eastAsia="楷体" w:cs="楷体"/>
                <w:color w:val="000000"/>
                <w:szCs w:val="21"/>
              </w:rPr>
              <w:t>中高</w:t>
            </w:r>
          </w:p>
        </w:tc>
        <w:tc>
          <w:tcPr>
            <w:tcW w:w="4618" w:type="dxa"/>
            <w:vAlign w:val="center"/>
          </w:tcPr>
          <w:p>
            <w:pPr>
              <w:adjustRightInd w:val="0"/>
              <w:spacing w:after="0" w:line="240" w:lineRule="auto"/>
              <w:jc w:val="center"/>
              <w:textAlignment w:val="baseline"/>
              <w:outlineLvl w:val="0"/>
              <w:rPr>
                <w:rFonts w:ascii="楷体" w:hAnsi="楷体" w:eastAsia="楷体" w:cs="楷体"/>
                <w:color w:val="000000"/>
                <w:szCs w:val="21"/>
              </w:rPr>
            </w:pPr>
            <w:r>
              <w:rPr>
                <w:rFonts w:hint="eastAsia" w:ascii="楷体" w:hAnsi="楷体" w:eastAsia="楷体" w:cs="楷体"/>
                <w:color w:val="000000"/>
                <w:szCs w:val="21"/>
              </w:rPr>
              <w:t>进取型、激进型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155" w:type="dxa"/>
          </w:tcPr>
          <w:p>
            <w:pPr>
              <w:adjustRightInd w:val="0"/>
              <w:spacing w:after="0" w:line="240" w:lineRule="auto"/>
              <w:jc w:val="center"/>
              <w:textAlignment w:val="baseline"/>
              <w:outlineLvl w:val="0"/>
              <w:rPr>
                <w:rFonts w:ascii="楷体" w:hAnsi="楷体" w:eastAsia="楷体" w:cs="楷体"/>
                <w:color w:val="000000"/>
                <w:szCs w:val="21"/>
              </w:rPr>
            </w:pPr>
            <w:r>
              <w:rPr>
                <w:rFonts w:ascii="楷体" w:hAnsi="楷体" w:eastAsia="楷体" w:cs="楷体"/>
                <w:color w:val="000000"/>
                <w:szCs w:val="21"/>
              </w:rPr>
              <w:t>PR5级</w:t>
            </w:r>
          </w:p>
        </w:tc>
        <w:tc>
          <w:tcPr>
            <w:tcW w:w="3578" w:type="dxa"/>
          </w:tcPr>
          <w:p>
            <w:pPr>
              <w:adjustRightInd w:val="0"/>
              <w:spacing w:after="0" w:line="240" w:lineRule="auto"/>
              <w:jc w:val="center"/>
              <w:textAlignment w:val="baseline"/>
              <w:outlineLvl w:val="0"/>
              <w:rPr>
                <w:rFonts w:ascii="楷体" w:hAnsi="楷体" w:eastAsia="楷体" w:cs="楷体"/>
                <w:color w:val="000000"/>
                <w:szCs w:val="21"/>
              </w:rPr>
            </w:pPr>
            <w:r>
              <w:rPr>
                <w:rFonts w:ascii="楷体" w:hAnsi="楷体" w:eastAsia="楷体" w:cs="楷体"/>
                <w:color w:val="000000"/>
                <w:szCs w:val="21"/>
              </w:rPr>
              <w:t>高</w:t>
            </w:r>
          </w:p>
        </w:tc>
        <w:tc>
          <w:tcPr>
            <w:tcW w:w="4618" w:type="dxa"/>
            <w:vAlign w:val="center"/>
          </w:tcPr>
          <w:p>
            <w:pPr>
              <w:adjustRightInd w:val="0"/>
              <w:spacing w:after="0" w:line="240" w:lineRule="auto"/>
              <w:jc w:val="center"/>
              <w:textAlignment w:val="baseline"/>
              <w:outlineLvl w:val="0"/>
              <w:rPr>
                <w:rFonts w:ascii="楷体" w:hAnsi="楷体" w:eastAsia="楷体" w:cs="楷体"/>
                <w:color w:val="000000"/>
                <w:szCs w:val="21"/>
              </w:rPr>
            </w:pPr>
            <w:r>
              <w:rPr>
                <w:rFonts w:hint="eastAsia" w:ascii="楷体" w:hAnsi="楷体" w:eastAsia="楷体" w:cs="楷体"/>
                <w:color w:val="000000"/>
                <w:szCs w:val="21"/>
              </w:rPr>
              <w:t>激进型</w:t>
            </w:r>
          </w:p>
        </w:tc>
      </w:tr>
    </w:tbl>
    <w:p>
      <w:pPr>
        <w:widowControl/>
        <w:ind w:firstLine="480" w:firstLineChars="200"/>
        <w:jc w:val="left"/>
        <w:rPr>
          <w:rFonts w:ascii="黑体" w:hAnsi="宋体" w:eastAsia="黑体" w:cs="宋体"/>
          <w:bCs/>
          <w:color w:val="2F2F2F"/>
          <w:kern w:val="0"/>
          <w:sz w:val="24"/>
        </w:rPr>
      </w:pPr>
      <w:r>
        <w:rPr>
          <w:rFonts w:hint="eastAsia" w:ascii="黑体" w:hAnsi="宋体" w:eastAsia="黑体" w:cs="宋体"/>
          <w:bCs/>
          <w:color w:val="2F2F2F"/>
          <w:kern w:val="0"/>
          <w:sz w:val="24"/>
        </w:rPr>
        <w:t>三、理财信息披露</w:t>
      </w:r>
    </w:p>
    <w:p>
      <w:pPr>
        <w:widowControl/>
        <w:ind w:firstLine="480" w:firstLineChars="200"/>
        <w:rPr>
          <w:rFonts w:ascii="楷体_GB2312" w:hAnsi="宋体" w:eastAsia="楷体_GB2312" w:cs="宋体"/>
          <w:bCs/>
          <w:color w:val="2F2F2F"/>
          <w:kern w:val="0"/>
          <w:sz w:val="24"/>
        </w:rPr>
      </w:pPr>
      <w:r>
        <w:rPr>
          <w:rFonts w:hint="eastAsia" w:ascii="楷体_GB2312" w:hAnsi="宋体" w:eastAsia="楷体_GB2312" w:cs="宋体"/>
          <w:bCs/>
          <w:color w:val="2F2F2F"/>
          <w:kern w:val="0"/>
          <w:sz w:val="24"/>
        </w:rPr>
        <w:t>信银理财将根据不同的产品类别，在相应的理财产品说明书中明确说明该产品信息披露的平台、渠道、发布时间、频率等。一般来讲，信银理财网站【</w:t>
      </w:r>
      <w:r>
        <w:rPr>
          <w:rFonts w:ascii="楷体_GB2312" w:hAnsi="宋体" w:eastAsia="楷体_GB2312" w:cs="宋体"/>
          <w:bCs/>
          <w:color w:val="2F2F2F"/>
          <w:kern w:val="0"/>
          <w:sz w:val="24"/>
        </w:rPr>
        <w:t>www.citic-wealth.com</w:t>
      </w:r>
      <w:r>
        <w:rPr>
          <w:rFonts w:hint="eastAsia" w:ascii="楷体_GB2312" w:hAnsi="宋体" w:eastAsia="楷体_GB2312" w:cs="宋体"/>
          <w:bCs/>
          <w:color w:val="2F2F2F"/>
          <w:kern w:val="0"/>
          <w:sz w:val="24"/>
        </w:rPr>
        <w:t>】是信银理财正式信息发布渠道，其他渠道如短信、电话等为辅助方式，投资者应定期通过包括信银理财网站在内的各信息平台和渠道获知有关理财产品相关信息。</w:t>
      </w:r>
    </w:p>
    <w:p>
      <w:pPr>
        <w:widowControl/>
        <w:ind w:firstLine="480" w:firstLineChars="200"/>
        <w:jc w:val="left"/>
        <w:rPr>
          <w:rFonts w:ascii="黑体" w:hAnsi="宋体" w:eastAsia="黑体" w:cs="宋体"/>
          <w:bCs/>
          <w:color w:val="2F2F2F"/>
          <w:kern w:val="0"/>
          <w:sz w:val="24"/>
        </w:rPr>
      </w:pPr>
      <w:r>
        <w:rPr>
          <w:rFonts w:hint="eastAsia" w:ascii="黑体" w:hAnsi="宋体" w:eastAsia="黑体" w:cs="宋体"/>
          <w:bCs/>
          <w:color w:val="2F2F2F"/>
          <w:kern w:val="0"/>
          <w:sz w:val="24"/>
        </w:rPr>
        <w:t>四、客户咨询、</w:t>
      </w:r>
      <w:r>
        <w:rPr>
          <w:rFonts w:ascii="黑体" w:hAnsi="宋体" w:eastAsia="黑体" w:cs="宋体"/>
          <w:bCs/>
          <w:color w:val="2F2F2F"/>
          <w:kern w:val="0"/>
          <w:sz w:val="24"/>
        </w:rPr>
        <w:t>投诉</w:t>
      </w:r>
      <w:r>
        <w:rPr>
          <w:rFonts w:hint="eastAsia" w:ascii="黑体" w:hAnsi="宋体" w:eastAsia="黑体" w:cs="宋体"/>
          <w:bCs/>
          <w:color w:val="2F2F2F"/>
          <w:kern w:val="0"/>
          <w:sz w:val="24"/>
        </w:rPr>
        <w:t>渠道及信银理财联系方式</w:t>
      </w:r>
    </w:p>
    <w:p>
      <w:pPr>
        <w:spacing w:line="360" w:lineRule="auto"/>
        <w:ind w:firstLine="480" w:firstLineChars="200"/>
        <w:rPr>
          <w:rFonts w:ascii="楷体_GB2312" w:hAnsi="宋体" w:eastAsia="楷体_GB2312" w:cs="宋体"/>
          <w:bCs/>
          <w:color w:val="2F2F2F"/>
          <w:kern w:val="0"/>
          <w:sz w:val="24"/>
        </w:rPr>
      </w:pPr>
      <w:r>
        <w:rPr>
          <w:rFonts w:hint="eastAsia" w:ascii="楷体_GB2312" w:hAnsi="宋体" w:eastAsia="楷体_GB2312" w:cs="宋体"/>
          <w:bCs/>
          <w:color w:val="2F2F2F"/>
          <w:kern w:val="0"/>
          <w:sz w:val="24"/>
        </w:rPr>
        <w:t>信银理财个人理财业务客户咨询和投诉渠道包括但不限于：客户服务热线【</w:t>
      </w:r>
      <w:r>
        <w:rPr>
          <w:rFonts w:ascii="楷体_GB2312" w:hAnsi="宋体" w:eastAsia="楷体_GB2312" w:cs="宋体"/>
          <w:bCs/>
          <w:color w:val="2F2F2F"/>
          <w:kern w:val="0"/>
          <w:sz w:val="24"/>
        </w:rPr>
        <w:t>950950</w:t>
      </w:r>
      <w:r>
        <w:rPr>
          <w:rFonts w:hint="eastAsia" w:ascii="楷体_GB2312" w:hAnsi="宋体" w:eastAsia="楷体_GB2312" w:cs="宋体"/>
          <w:bCs/>
          <w:color w:val="2F2F2F"/>
          <w:kern w:val="0"/>
          <w:sz w:val="24"/>
        </w:rPr>
        <w:t>】、营业</w:t>
      </w:r>
      <w:r>
        <w:rPr>
          <w:rFonts w:ascii="楷体_GB2312" w:hAnsi="宋体" w:eastAsia="楷体_GB2312" w:cs="宋体"/>
          <w:bCs/>
          <w:color w:val="2F2F2F"/>
          <w:kern w:val="0"/>
          <w:sz w:val="24"/>
        </w:rPr>
        <w:t>场所</w:t>
      </w:r>
      <w:r>
        <w:rPr>
          <w:rFonts w:hint="eastAsia" w:ascii="楷体_GB2312" w:hAnsi="宋体" w:eastAsia="楷体_GB2312" w:cs="宋体"/>
          <w:bCs/>
          <w:color w:val="2F2F2F"/>
          <w:kern w:val="0"/>
          <w:sz w:val="24"/>
        </w:rPr>
        <w:t>、互联网网站【www.</w:t>
      </w:r>
      <w:r>
        <w:rPr>
          <w:rFonts w:ascii="楷体_GB2312" w:hAnsi="宋体" w:eastAsia="楷体_GB2312" w:cs="宋体"/>
          <w:bCs/>
          <w:color w:val="2F2F2F"/>
          <w:kern w:val="0"/>
          <w:sz w:val="24"/>
        </w:rPr>
        <w:t>citic-wealth.com</w:t>
      </w:r>
      <w:r>
        <w:rPr>
          <w:rFonts w:hint="eastAsia" w:ascii="楷体_GB2312" w:hAnsi="宋体" w:eastAsia="楷体_GB2312" w:cs="宋体"/>
          <w:bCs/>
          <w:color w:val="2F2F2F"/>
          <w:kern w:val="0"/>
          <w:sz w:val="24"/>
        </w:rPr>
        <w:t>】、电子邮件【c</w:t>
      </w:r>
      <w:r>
        <w:rPr>
          <w:rFonts w:ascii="楷体_GB2312" w:hAnsi="宋体" w:eastAsia="楷体_GB2312" w:cs="宋体"/>
          <w:bCs/>
          <w:color w:val="2F2F2F"/>
          <w:kern w:val="0"/>
          <w:sz w:val="24"/>
        </w:rPr>
        <w:t>ustomerservice@citic-wealth.com</w:t>
      </w:r>
      <w:r>
        <w:rPr>
          <w:rFonts w:hint="eastAsia" w:ascii="楷体_GB2312" w:hAnsi="宋体" w:eastAsia="楷体_GB2312" w:cs="宋体"/>
          <w:bCs/>
          <w:color w:val="2F2F2F"/>
          <w:kern w:val="0"/>
          <w:sz w:val="24"/>
        </w:rPr>
        <w:t>】、等。信银理财将安排专人及时收集个人理财业务客户投诉，并在收到客户投诉的第一时间内与客户取得联系，及时处理并进行反馈。</w:t>
      </w:r>
    </w:p>
    <w:p>
      <w:pPr>
        <w:widowControl/>
        <w:ind w:firstLine="480" w:firstLineChars="200"/>
        <w:jc w:val="left"/>
        <w:rPr>
          <w:rFonts w:ascii="黑体" w:hAnsi="宋体" w:eastAsia="黑体" w:cs="宋体"/>
          <w:bCs/>
          <w:color w:val="2F2F2F"/>
          <w:kern w:val="0"/>
          <w:sz w:val="24"/>
        </w:rPr>
      </w:pPr>
      <w:r>
        <w:rPr>
          <w:rFonts w:hint="eastAsia" w:ascii="黑体" w:hAnsi="宋体" w:eastAsia="黑体" w:cs="宋体"/>
          <w:bCs/>
          <w:color w:val="2F2F2F"/>
          <w:kern w:val="0"/>
          <w:sz w:val="24"/>
        </w:rPr>
        <w:t>五</w:t>
      </w:r>
      <w:r>
        <w:rPr>
          <w:rFonts w:ascii="黑体" w:hAnsi="宋体" w:eastAsia="黑体" w:cs="宋体"/>
          <w:bCs/>
          <w:color w:val="2F2F2F"/>
          <w:kern w:val="0"/>
          <w:sz w:val="24"/>
        </w:rPr>
        <w:t>、</w:t>
      </w:r>
      <w:r>
        <w:rPr>
          <w:rFonts w:hint="eastAsia" w:ascii="黑体" w:hAnsi="宋体" w:eastAsia="黑体" w:cs="宋体"/>
          <w:bCs/>
          <w:color w:val="2F2F2F"/>
          <w:kern w:val="0"/>
          <w:sz w:val="24"/>
        </w:rPr>
        <w:t>客户</w:t>
      </w:r>
      <w:r>
        <w:rPr>
          <w:rFonts w:ascii="黑体" w:hAnsi="宋体" w:eastAsia="黑体" w:cs="宋体"/>
          <w:bCs/>
          <w:color w:val="2F2F2F"/>
          <w:kern w:val="0"/>
          <w:sz w:val="24"/>
        </w:rPr>
        <w:t>须知</w:t>
      </w:r>
    </w:p>
    <w:p>
      <w:pPr>
        <w:spacing w:line="360" w:lineRule="auto"/>
        <w:ind w:firstLine="480" w:firstLineChars="200"/>
        <w:rPr>
          <w:rFonts w:ascii="黑体" w:hAnsi="黑体" w:eastAsia="黑体" w:cs="楷体"/>
          <w:color w:val="000000"/>
          <w:sz w:val="24"/>
          <w:szCs w:val="24"/>
        </w:rPr>
      </w:pPr>
      <w:r>
        <w:rPr>
          <w:rFonts w:hint="eastAsia" w:ascii="黑体" w:hAnsi="黑体" w:eastAsia="黑体" w:cs="楷体"/>
          <w:color w:val="000000"/>
          <w:sz w:val="24"/>
          <w:szCs w:val="24"/>
        </w:rPr>
        <w:t>郑重提示您在</w:t>
      </w:r>
      <w:r>
        <w:rPr>
          <w:rFonts w:ascii="黑体" w:hAnsi="黑体" w:eastAsia="黑体" w:cs="楷体"/>
          <w:color w:val="000000"/>
          <w:sz w:val="24"/>
          <w:szCs w:val="24"/>
        </w:rPr>
        <w:t>购买</w:t>
      </w:r>
      <w:r>
        <w:rPr>
          <w:rFonts w:hint="eastAsia" w:ascii="黑体" w:hAnsi="黑体" w:eastAsia="黑体" w:cs="楷体"/>
          <w:color w:val="000000"/>
          <w:sz w:val="24"/>
          <w:szCs w:val="24"/>
        </w:rPr>
        <w:t>信银</w:t>
      </w:r>
      <w:r>
        <w:rPr>
          <w:rFonts w:ascii="黑体" w:hAnsi="黑体" w:eastAsia="黑体" w:cs="楷体"/>
          <w:color w:val="000000"/>
          <w:sz w:val="24"/>
          <w:szCs w:val="24"/>
        </w:rPr>
        <w:t>理财理财产品时注意以下事项</w:t>
      </w:r>
      <w:r>
        <w:rPr>
          <w:rFonts w:hint="eastAsia" w:ascii="黑体" w:hAnsi="黑体" w:eastAsia="黑体" w:cs="楷体"/>
          <w:color w:val="000000"/>
          <w:sz w:val="24"/>
          <w:szCs w:val="24"/>
        </w:rPr>
        <w:t>：</w:t>
      </w:r>
    </w:p>
    <w:p>
      <w:pPr>
        <w:pStyle w:val="8"/>
        <w:numPr>
          <w:ilvl w:val="0"/>
          <w:numId w:val="1"/>
        </w:numPr>
        <w:spacing w:line="360" w:lineRule="auto"/>
        <w:ind w:firstLineChars="0"/>
        <w:rPr>
          <w:rFonts w:ascii="黑体" w:hAnsi="黑体" w:eastAsia="黑体" w:cs="楷体"/>
          <w:color w:val="000000"/>
          <w:sz w:val="24"/>
          <w:szCs w:val="24"/>
        </w:rPr>
      </w:pPr>
      <w:r>
        <w:rPr>
          <w:rFonts w:hint="eastAsia" w:ascii="黑体" w:hAnsi="黑体" w:eastAsia="黑体" w:cs="楷体"/>
          <w:color w:val="000000"/>
          <w:sz w:val="24"/>
          <w:szCs w:val="24"/>
        </w:rPr>
        <w:t>信银</w:t>
      </w:r>
      <w:r>
        <w:rPr>
          <w:rFonts w:ascii="黑体" w:hAnsi="黑体" w:eastAsia="黑体" w:cs="楷体"/>
          <w:color w:val="000000"/>
          <w:sz w:val="24"/>
          <w:szCs w:val="24"/>
        </w:rPr>
        <w:t>理财</w:t>
      </w:r>
      <w:r>
        <w:rPr>
          <w:rFonts w:hint="eastAsia" w:ascii="黑体" w:hAnsi="黑体" w:eastAsia="黑体" w:cs="楷体"/>
          <w:color w:val="000000"/>
          <w:sz w:val="24"/>
          <w:szCs w:val="24"/>
        </w:rPr>
        <w:t>发行</w:t>
      </w:r>
      <w:r>
        <w:rPr>
          <w:rFonts w:ascii="黑体" w:hAnsi="黑体" w:eastAsia="黑体" w:cs="楷体"/>
          <w:color w:val="000000"/>
          <w:sz w:val="24"/>
          <w:szCs w:val="24"/>
        </w:rPr>
        <w:t>的所有</w:t>
      </w:r>
      <w:r>
        <w:rPr>
          <w:rFonts w:hint="eastAsia" w:ascii="黑体" w:hAnsi="黑体" w:eastAsia="黑体" w:cs="楷体"/>
          <w:color w:val="000000"/>
          <w:sz w:val="24"/>
          <w:szCs w:val="24"/>
        </w:rPr>
        <w:t>理财产品都</w:t>
      </w:r>
      <w:r>
        <w:rPr>
          <w:rFonts w:ascii="黑体" w:hAnsi="黑体" w:eastAsia="黑体" w:cs="楷体"/>
          <w:color w:val="000000"/>
          <w:sz w:val="24"/>
          <w:szCs w:val="24"/>
        </w:rPr>
        <w:t>将披露</w:t>
      </w:r>
      <w:r>
        <w:rPr>
          <w:rFonts w:hint="eastAsia" w:ascii="黑体" w:hAnsi="黑体" w:eastAsia="黑体" w:cs="楷体"/>
          <w:color w:val="000000"/>
          <w:sz w:val="24"/>
          <w:szCs w:val="24"/>
        </w:rPr>
        <w:t>理财</w:t>
      </w:r>
      <w:r>
        <w:rPr>
          <w:rFonts w:ascii="黑体" w:hAnsi="黑体" w:eastAsia="黑体" w:cs="楷体"/>
          <w:color w:val="000000"/>
          <w:sz w:val="24"/>
          <w:szCs w:val="24"/>
        </w:rPr>
        <w:t>产品</w:t>
      </w:r>
      <w:r>
        <w:rPr>
          <w:rFonts w:hint="eastAsia" w:ascii="黑体" w:hAnsi="黑体" w:eastAsia="黑体" w:cs="楷体"/>
          <w:color w:val="000000"/>
          <w:sz w:val="24"/>
          <w:szCs w:val="24"/>
        </w:rPr>
        <w:t>登记编码。投资者可以依据该理财产品登记编码在中国理财网（www.chinawealth.com.cn）上查询产品相关信息。理财产品登记编码是全国银行业理财信息登记系统赋予所有银行（及银行理财子公司）理财产品的标识码，每个登记编码具有唯一性，是您判断理财产品是否合法合规、是否真实可靠的重要依据。如您购买的理财产品未公示登记编码，或通过其公示的登记编码无法在中国理财网（www.chinawealth.com.cn）上查询到产品相关信息，则该产品非信银理财发行产品。</w:t>
      </w:r>
    </w:p>
    <w:p>
      <w:pPr>
        <w:pStyle w:val="8"/>
        <w:numPr>
          <w:ilvl w:val="0"/>
          <w:numId w:val="1"/>
        </w:numPr>
        <w:spacing w:line="360" w:lineRule="auto"/>
        <w:ind w:firstLineChars="0"/>
        <w:rPr>
          <w:rFonts w:ascii="黑体" w:hAnsi="黑体" w:eastAsia="黑体" w:cs="楷体"/>
          <w:color w:val="000000"/>
          <w:sz w:val="24"/>
          <w:szCs w:val="24"/>
        </w:rPr>
      </w:pPr>
      <w:r>
        <w:rPr>
          <w:rFonts w:hint="eastAsia" w:ascii="黑体" w:hAnsi="黑体" w:eastAsia="黑体" w:cs="楷体"/>
          <w:color w:val="000000"/>
          <w:sz w:val="24"/>
          <w:szCs w:val="24"/>
        </w:rPr>
        <w:t>信银</w:t>
      </w:r>
      <w:r>
        <w:rPr>
          <w:rFonts w:ascii="黑体" w:hAnsi="黑体" w:eastAsia="黑体" w:cs="楷体"/>
          <w:color w:val="000000"/>
          <w:sz w:val="24"/>
          <w:szCs w:val="24"/>
        </w:rPr>
        <w:t>理财</w:t>
      </w:r>
      <w:r>
        <w:rPr>
          <w:rFonts w:hint="eastAsia" w:ascii="黑体" w:hAnsi="黑体" w:eastAsia="黑体" w:cs="楷体"/>
          <w:color w:val="000000"/>
          <w:sz w:val="24"/>
          <w:szCs w:val="24"/>
        </w:rPr>
        <w:t>《理财产品说明书》中除明确规定的收益及收益分配方式外，任何预期收益、预计收益、测算收益或类似表述均属不具有法律约束力的用语，不代表投资者可能获得的实际收益，亦不构成信银理财对理财产品的任何收益承诺。信银</w:t>
      </w:r>
      <w:r>
        <w:rPr>
          <w:rFonts w:ascii="黑体" w:hAnsi="黑体" w:eastAsia="黑体" w:cs="楷体"/>
          <w:color w:val="000000"/>
          <w:sz w:val="24"/>
          <w:szCs w:val="24"/>
        </w:rPr>
        <w:t>理财</w:t>
      </w:r>
      <w:r>
        <w:rPr>
          <w:rFonts w:hint="eastAsia" w:ascii="黑体" w:hAnsi="黑体" w:eastAsia="黑体" w:cs="楷体"/>
          <w:color w:val="000000"/>
          <w:sz w:val="24"/>
          <w:szCs w:val="24"/>
        </w:rPr>
        <w:t>理财产品不保障理财本金和收益，投资者所能获得的最终收益以理财产品最终清算的投资者可得收益为准。产品过往业绩不代表其未来表现，不构成新发理财产品业绩表现的保证。</w:t>
      </w:r>
    </w:p>
    <w:p>
      <w:pPr>
        <w:pStyle w:val="8"/>
        <w:numPr>
          <w:ilvl w:val="0"/>
          <w:numId w:val="1"/>
        </w:numPr>
        <w:spacing w:line="360" w:lineRule="auto"/>
        <w:ind w:firstLineChars="0"/>
        <w:rPr>
          <w:rFonts w:ascii="黑体" w:hAnsi="黑体" w:eastAsia="黑体" w:cs="楷体"/>
          <w:color w:val="000000"/>
          <w:sz w:val="24"/>
          <w:szCs w:val="24"/>
        </w:rPr>
      </w:pPr>
      <w:r>
        <w:rPr>
          <w:rFonts w:hint="eastAsia" w:ascii="黑体" w:hAnsi="黑体" w:eastAsia="黑体" w:cs="楷体"/>
          <w:color w:val="000000"/>
          <w:sz w:val="24"/>
          <w:szCs w:val="24"/>
        </w:rPr>
        <w:t>信银理财通过营业网点向个人投资者销售理财产品的，将按照银保监会的相关规定实施理财产品销售专区管理。信银理财将在销售专区内对每只理财产品销售过程进行录音录像，销售专区具有明显标识。投资者知悉并同意接受上述安排和流程。</w:t>
      </w:r>
    </w:p>
    <w:p>
      <w:pPr>
        <w:pStyle w:val="8"/>
        <w:numPr>
          <w:ilvl w:val="0"/>
          <w:numId w:val="1"/>
        </w:numPr>
        <w:spacing w:line="360" w:lineRule="auto"/>
        <w:ind w:firstLineChars="0"/>
        <w:rPr>
          <w:rFonts w:ascii="黑体" w:hAnsi="黑体" w:eastAsia="黑体" w:cs="楷体"/>
          <w:color w:val="000000"/>
          <w:sz w:val="24"/>
          <w:szCs w:val="24"/>
        </w:rPr>
      </w:pPr>
      <w:r>
        <w:rPr>
          <w:rFonts w:hint="eastAsia" w:ascii="黑体" w:hAnsi="黑体" w:eastAsia="黑体" w:cs="楷体"/>
          <w:color w:val="000000"/>
          <w:sz w:val="24"/>
          <w:szCs w:val="24"/>
        </w:rPr>
        <w:t>信银理财通过电子渠道向个人投资者销售理财产品的，将</w:t>
      </w:r>
      <w:r>
        <w:rPr>
          <w:rFonts w:ascii="黑体" w:hAnsi="黑体" w:eastAsia="黑体" w:cs="楷体"/>
          <w:color w:val="000000"/>
          <w:sz w:val="24"/>
          <w:szCs w:val="24"/>
        </w:rPr>
        <w:t>按照银保监会的相关规定</w:t>
      </w:r>
      <w:r>
        <w:rPr>
          <w:rFonts w:hint="eastAsia" w:ascii="黑体" w:hAnsi="黑体" w:eastAsia="黑体" w:cs="楷体"/>
          <w:color w:val="000000"/>
          <w:sz w:val="24"/>
          <w:szCs w:val="24"/>
        </w:rPr>
        <w:t>积极采取有效措施和技术手段完整客观记录营销推介、产品风险和关键信息提示、投资者确认和反馈等重点销售环节，确保能够满足回溯检查和核查取证的需要。投资者同意信银理财进行上述记录行为。</w:t>
      </w:r>
    </w:p>
    <w:p>
      <w:pPr>
        <w:pStyle w:val="8"/>
        <w:numPr>
          <w:ilvl w:val="0"/>
          <w:numId w:val="1"/>
        </w:numPr>
        <w:spacing w:line="360" w:lineRule="auto"/>
        <w:ind w:firstLineChars="0"/>
        <w:rPr>
          <w:rFonts w:ascii="黑体" w:hAnsi="黑体" w:eastAsia="黑体" w:cs="楷体"/>
          <w:color w:val="000000"/>
          <w:sz w:val="24"/>
          <w:szCs w:val="24"/>
        </w:rPr>
      </w:pPr>
      <w:r>
        <w:rPr>
          <w:rFonts w:hint="eastAsia" w:ascii="黑体" w:hAnsi="黑体" w:eastAsia="黑体" w:cs="楷体"/>
          <w:color w:val="000000"/>
          <w:sz w:val="24"/>
          <w:szCs w:val="24"/>
        </w:rPr>
        <w:t>信银理财销售人员均为与信银理财签订劳动合同并经信银理财进行了上岗资格认定的人员。投资者可要求销售人员在向投资者宣传销售理财产品前进行自我介绍并告知投资者关于销售人员的信息查询和核实渠道。</w:t>
      </w:r>
    </w:p>
    <w:p/>
    <w:p/>
    <w:sectPr>
      <w:footerReference r:id="rId5" w:type="default"/>
      <w:pgSz w:w="11906" w:h="16838"/>
      <w:pgMar w:top="964" w:right="1021" w:bottom="964" w:left="1021"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color w:val="000000" w:themeColor="text1"/>
        <w14:textFill>
          <w14:solidFill>
            <w14:schemeClr w14:val="tx1"/>
          </w14:solidFill>
        </w14:textFill>
      </w:rPr>
    </w:pPr>
    <w:r>
      <w:rPr>
        <w:rFonts w:hint="eastAsia"/>
        <w:color w:val="000000" w:themeColor="text1"/>
        <w:lang w:val="zh-CN"/>
        <w14:textFill>
          <w14:solidFill>
            <w14:schemeClr w14:val="tx1"/>
          </w14:solidFill>
        </w14:textFill>
      </w:rPr>
      <w:t>第</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PAGE  \* Arabic  \* MERGEFORMAT</w:instrText>
    </w:r>
    <w:r>
      <w:rPr>
        <w:color w:val="000000" w:themeColor="text1"/>
        <w14:textFill>
          <w14:solidFill>
            <w14:schemeClr w14:val="tx1"/>
          </w14:solidFill>
        </w14:textFill>
      </w:rPr>
      <w:fldChar w:fldCharType="separate"/>
    </w:r>
    <w:r>
      <w:rPr>
        <w:color w:val="000000" w:themeColor="text1"/>
        <w:lang w:val="zh-CN"/>
        <w14:textFill>
          <w14:solidFill>
            <w14:schemeClr w14:val="tx1"/>
          </w14:solidFill>
        </w14:textFill>
      </w:rPr>
      <w:t>3</w:t>
    </w:r>
    <w:r>
      <w:rPr>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页</w:t>
    </w:r>
    <w:r>
      <w:rPr>
        <w:rFonts w:hint="eastAsia"/>
        <w:color w:val="000000" w:themeColor="text1"/>
        <w:lang w:val="zh-CN"/>
        <w14:textFill>
          <w14:solidFill>
            <w14:schemeClr w14:val="tx1"/>
          </w14:solidFill>
        </w14:textFill>
      </w:rPr>
      <w:t>，共</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NUMPAGES  \* Arabic  \* MERGEFORMAT</w:instrText>
    </w:r>
    <w:r>
      <w:rPr>
        <w:color w:val="000000" w:themeColor="text1"/>
        <w14:textFill>
          <w14:solidFill>
            <w14:schemeClr w14:val="tx1"/>
          </w14:solidFill>
        </w14:textFill>
      </w:rPr>
      <w:fldChar w:fldCharType="separate"/>
    </w:r>
    <w:r>
      <w:rPr>
        <w:color w:val="000000" w:themeColor="text1"/>
        <w:lang w:val="zh-CN"/>
        <w14:textFill>
          <w14:solidFill>
            <w14:schemeClr w14:val="tx1"/>
          </w14:solidFill>
        </w14:textFill>
      </w:rPr>
      <w:t>3</w:t>
    </w:r>
    <w:r>
      <w:rPr>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页</w:t>
    </w:r>
  </w:p>
  <w:p>
    <w:pPr>
      <w:pStyle w:val="2"/>
      <w:ind w:right="18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084381A"/>
    <w:multiLevelType w:val="multilevel"/>
    <w:tmpl w:val="7084381A"/>
    <w:lvl w:ilvl="0" w:tentative="0">
      <w:start w:val="1"/>
      <w:numFmt w:val="decimal"/>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6260"/>
    <w:rsid w:val="00526260"/>
    <w:rsid w:val="00A860DE"/>
    <w:rsid w:val="00AE6CD0"/>
    <w:rsid w:val="00B86D27"/>
    <w:rsid w:val="310E188C"/>
    <w:rsid w:val="466014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59" w:lineRule="auto"/>
      <w:jc w:val="both"/>
    </w:pPr>
    <w:rPr>
      <w:rFonts w:ascii="Times New Roman" w:hAnsi="Times New Roman" w:eastAsia="宋体" w:cs="Times New Roman"/>
      <w:kern w:val="2"/>
      <w:sz w:val="21"/>
      <w:szCs w:val="20"/>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paragraph" w:styleId="8">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254</Words>
  <Characters>1454</Characters>
  <Lines>12</Lines>
  <Paragraphs>3</Paragraphs>
  <TotalTime>1</TotalTime>
  <ScaleCrop>false</ScaleCrop>
  <LinksUpToDate>false</LinksUpToDate>
  <CharactersWithSpaces>1705</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2023-09-13T01:21:00Z</dcterms:created>
  <dc:creator>杨林育</dc:creator>
  <cp:lastModifiedBy>李响</cp:lastModifiedBy>
  <dcterms:modified xsi:type="dcterms:W3CDTF">2025-09-22T01:22:24Z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4C369964DA9B41C4B637EC1D4300BBF1</vt:lpwstr>
  </property>
</Properties>
</file>